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78FF8">
      <w:pPr>
        <w:spacing w:line="288" w:lineRule="auto"/>
        <w:jc w:val="center"/>
        <w:rPr>
          <w:rFonts w:hint="eastAsia" w:ascii="微软雅黑" w:hAnsi="微软雅黑" w:eastAsia="微软雅黑" w:cs="微软雅黑"/>
          <w:spacing w:val="1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pacing w:val="10"/>
          <w:sz w:val="44"/>
          <w:szCs w:val="44"/>
          <w:lang w:val="en-US" w:eastAsia="zh-CN"/>
        </w:rPr>
        <w:t>星网锐捷公司简介</w:t>
      </w:r>
    </w:p>
    <w:p w14:paraId="39B9848D">
      <w:pPr>
        <w:spacing w:line="288" w:lineRule="auto"/>
        <w:jc w:val="center"/>
        <w:rPr>
          <w:rFonts w:hint="eastAsia" w:ascii="微软雅黑" w:hAnsi="微软雅黑" w:eastAsia="微软雅黑" w:cs="微软雅黑"/>
          <w:spacing w:val="1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pacing w:val="10"/>
          <w:sz w:val="32"/>
          <w:szCs w:val="32"/>
          <w:lang w:val="en-US" w:eastAsia="zh-CN"/>
        </w:rPr>
        <w:t>（2025完整版）</w:t>
      </w:r>
    </w:p>
    <w:p w14:paraId="3D5CC86B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17766A91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福建星网锐捷通讯股份有限公司成立于2000年，是国内领先的ICT基础设施及AI应用方案提供商。星网锐捷围绕数据中心网络、光通信为代表的网络通信基础设施，以及信创产业、元宇宙、视联网、智慧空间、智能制造等为代表的AI应用方案，为政府、运营商、互联网、金融、医疗、教育、制造等行业领域的数智化转型升级赋能，同时业务覆盖全球近百个国家和地区，推动全球数字经济发展。</w:t>
      </w:r>
    </w:p>
    <w:p w14:paraId="32AB5E5A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2010年星网锐捷在深交所上市（002396)，2022年旗下子公司锐捷网络在创业板上市（301165），成为拥有两家上市公司的集团企业，2024年营业收入167.58亿元。公司现有高新区、仓山区两大科技园区，海西园、信创产业园、智能产业园3大智造基地，员工超万人。</w:t>
      </w:r>
    </w:p>
    <w:p w14:paraId="4ADC1398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作为国家首批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创新型企业和</w:t>
      </w:r>
      <w:r>
        <w:rPr>
          <w:rFonts w:hint="eastAsia" w:ascii="微软雅黑" w:hAnsi="微软雅黑" w:eastAsia="微软雅黑" w:cs="微软雅黑"/>
          <w:sz w:val="24"/>
          <w:szCs w:val="24"/>
        </w:rPr>
        <w:t>技术创新示范企业，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星网锐捷研发技术人员占公司总人数的50%左右，</w:t>
      </w:r>
      <w:r>
        <w:rPr>
          <w:rFonts w:hint="eastAsia" w:ascii="微软雅黑" w:hAnsi="微软雅黑" w:eastAsia="微软雅黑" w:cs="微软雅黑"/>
          <w:sz w:val="24"/>
          <w:szCs w:val="24"/>
        </w:rPr>
        <w:t>每年持续将10%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以上</w:t>
      </w:r>
      <w:r>
        <w:rPr>
          <w:rFonts w:hint="eastAsia" w:ascii="微软雅黑" w:hAnsi="微软雅黑" w:eastAsia="微软雅黑" w:cs="微软雅黑"/>
          <w:sz w:val="24"/>
          <w:szCs w:val="24"/>
        </w:rPr>
        <w:t>的销售收入投入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研发，2024年研发投入占营业收入的15.92%，达到 26.68 亿元。遍布全国的十大研发中心组成</w:t>
      </w:r>
      <w:r>
        <w:rPr>
          <w:rFonts w:hint="eastAsia" w:ascii="微软雅黑" w:hAnsi="微软雅黑" w:eastAsia="微软雅黑" w:cs="微软雅黑"/>
          <w:sz w:val="24"/>
          <w:szCs w:val="24"/>
        </w:rPr>
        <w:t>了星网锐捷网络通讯研究院，拥有国家级企业技术中心、博士后科研工作站、国际科技合作基地和下一代网络设备技术国家地方联合工程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研究</w:t>
      </w:r>
      <w:r>
        <w:rPr>
          <w:rFonts w:hint="eastAsia" w:ascii="微软雅黑" w:hAnsi="微软雅黑" w:eastAsia="微软雅黑" w:cs="微软雅黑"/>
          <w:sz w:val="24"/>
          <w:szCs w:val="24"/>
        </w:rPr>
        <w:t>中心；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公司多次承接和入选工信部高质量创新工程、工业互联网创新发展工程，国家发改委中央预算内投资，科技部科技助力经济等多项国家级项目，</w:t>
      </w:r>
      <w:r>
        <w:rPr>
          <w:rFonts w:hint="eastAsia" w:ascii="微软雅黑" w:hAnsi="微软雅黑" w:eastAsia="微软雅黑" w:cs="微软雅黑"/>
          <w:sz w:val="24"/>
          <w:szCs w:val="24"/>
        </w:rPr>
        <w:t>与中科院、清华大学、中国科技大学、华中科技大学、中山大学、厦门大学等建立长期产学研合作；与联想、统信等厂商共建联合实验室；与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BATJ、字节跳动、</w:t>
      </w:r>
      <w:r>
        <w:rPr>
          <w:rFonts w:hint="eastAsia" w:ascii="微软雅黑" w:hAnsi="微软雅黑" w:eastAsia="微软雅黑" w:cs="微软雅黑"/>
          <w:sz w:val="24"/>
          <w:szCs w:val="24"/>
        </w:rPr>
        <w:t>浪潮等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全球知名</w:t>
      </w:r>
      <w:r>
        <w:rPr>
          <w:rFonts w:hint="eastAsia" w:ascii="微软雅黑" w:hAnsi="微软雅黑" w:eastAsia="微软雅黑" w:cs="微软雅黑"/>
          <w:sz w:val="24"/>
          <w:szCs w:val="24"/>
        </w:rPr>
        <w:t>厂商广泛开展多层次、全方位的技术合作，形成大批具有国内和国际领先水平的核心技术。截止20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25年底</w:t>
      </w:r>
      <w:r>
        <w:rPr>
          <w:rFonts w:hint="eastAsia" w:ascii="微软雅黑" w:hAnsi="微软雅黑" w:eastAsia="微软雅黑" w:cs="微软雅黑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星网锐捷</w:t>
      </w:r>
      <w:r>
        <w:rPr>
          <w:rFonts w:hint="eastAsia" w:ascii="微软雅黑" w:hAnsi="微软雅黑" w:eastAsia="微软雅黑" w:cs="微软雅黑"/>
          <w:sz w:val="24"/>
          <w:szCs w:val="24"/>
        </w:rPr>
        <w:t>累计申请专利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5536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项。</w:t>
      </w:r>
    </w:p>
    <w:p w14:paraId="2A37171C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在网络基础设施领域，公司围绕网络设备、网络安全产品持续创新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为客户构建高性能、高可靠、高兼容、高可用的智算中心网络及端到端的ICT基础设施产品，客户覆盖三大运营商及阿里、腾讯、字节等互联网头部企业</w:t>
      </w:r>
      <w:r>
        <w:rPr>
          <w:rFonts w:hint="eastAsia" w:ascii="微软雅黑" w:hAnsi="微软雅黑" w:eastAsia="微软雅黑" w:cs="微软雅黑"/>
          <w:sz w:val="24"/>
          <w:szCs w:val="24"/>
        </w:rPr>
        <w:t>。在通信基础设施领域，公司大力推进光通信战略升级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沿着F5G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-A</w:t>
      </w:r>
      <w:r>
        <w:rPr>
          <w:rFonts w:hint="eastAsia" w:ascii="微软雅黑" w:hAnsi="微软雅黑" w:eastAsia="微软雅黑" w:cs="微软雅黑"/>
          <w:sz w:val="24"/>
          <w:szCs w:val="24"/>
        </w:rPr>
        <w:t>的技术方向持续创新，加快向核心网演进，形成了光终端、光组网、光接入、光传送全光解决方案矩阵，是光接入市场第一梯队厂商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及运</w:t>
      </w:r>
      <w:r>
        <w:rPr>
          <w:rFonts w:hint="eastAsia" w:ascii="微软雅黑" w:hAnsi="微软雅黑" w:eastAsia="微软雅黑" w:cs="微软雅黑"/>
          <w:sz w:val="24"/>
          <w:szCs w:val="24"/>
        </w:rPr>
        <w:t>营商的核心战略合作伙伴。</w:t>
      </w:r>
    </w:p>
    <w:p w14:paraId="39168CA7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公司持续投入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AI</w:t>
      </w:r>
      <w:r>
        <w:rPr>
          <w:rFonts w:hint="eastAsia" w:ascii="微软雅黑" w:hAnsi="微软雅黑" w:eastAsia="微软雅黑" w:cs="微软雅黑"/>
          <w:sz w:val="24"/>
          <w:szCs w:val="24"/>
        </w:rPr>
        <w:t>与信创为代表的战略性产业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坚定发力全场景AI，</w:t>
      </w:r>
      <w:r>
        <w:rPr>
          <w:rFonts w:hint="eastAsia" w:ascii="微软雅黑" w:hAnsi="微软雅黑" w:eastAsia="微软雅黑" w:cs="微软雅黑"/>
          <w:sz w:val="24"/>
          <w:szCs w:val="24"/>
        </w:rPr>
        <w:t>构建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星网锐捷在云/平台+网+端的</w:t>
      </w:r>
      <w:r>
        <w:rPr>
          <w:rFonts w:hint="eastAsia" w:ascii="微软雅黑" w:hAnsi="微软雅黑" w:eastAsia="微软雅黑" w:cs="微软雅黑"/>
          <w:sz w:val="24"/>
          <w:szCs w:val="24"/>
        </w:rPr>
        <w:t>AI整体解决方案能力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，加速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千行百业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从数字化迈向智能化</w:t>
      </w:r>
      <w:r>
        <w:rPr>
          <w:rFonts w:hint="eastAsia" w:ascii="微软雅黑" w:hAnsi="微软雅黑" w:eastAsia="微软雅黑" w:cs="微软雅黑"/>
          <w:sz w:val="24"/>
          <w:szCs w:val="24"/>
        </w:rPr>
        <w:t>。在信创方面，作为信创工委会和信创产业链重要的参与者，星网锐捷全面布局信创战略，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不断升级全栈式</w:t>
      </w:r>
      <w:r>
        <w:rPr>
          <w:rFonts w:hint="eastAsia" w:ascii="微软雅黑" w:hAnsi="微软雅黑" w:eastAsia="微软雅黑" w:cs="微软雅黑"/>
          <w:sz w:val="24"/>
          <w:szCs w:val="24"/>
        </w:rPr>
        <w:t>信创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能力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构建了从</w:t>
      </w:r>
      <w:r>
        <w:rPr>
          <w:rFonts w:hint="eastAsia" w:ascii="微软雅黑" w:hAnsi="微软雅黑" w:eastAsia="微软雅黑" w:cs="微软雅黑"/>
          <w:sz w:val="24"/>
          <w:szCs w:val="24"/>
        </w:rPr>
        <w:t>信创网络设备、信创通信设备、信创服务器、信创桌面整机、信创外设终端到信创操作系统的完整解决方案，与主流中国芯和国产操作系统形成产业联盟，共建完整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繁荣的</w:t>
      </w:r>
      <w:r>
        <w:rPr>
          <w:rFonts w:hint="eastAsia" w:ascii="微软雅黑" w:hAnsi="微软雅黑" w:eastAsia="微软雅黑" w:cs="微软雅黑"/>
          <w:sz w:val="24"/>
          <w:szCs w:val="24"/>
        </w:rPr>
        <w:t>产业生态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 w14:paraId="33A9982D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今天，星网锐捷坚定朝着“世界一流的ICT基础设施与AI应用方案提供商”战略目标迈进，致力于推动数字经济的高质量发展，为全球客户提供融合AI的数智创新方案。</w:t>
      </w:r>
    </w:p>
    <w:p w14:paraId="1BDE9998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911D098">
      <w:pPr>
        <w:spacing w:line="360" w:lineRule="auto"/>
        <w:ind w:firstLine="480" w:firstLineChars="20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44622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textAlignment w:val="auto"/>
        <w:rPr>
          <w:rFonts w:hint="eastAsia" w:ascii="新宋体" w:hAnsi="新宋体" w:eastAsia="新宋体" w:cs="新宋体"/>
          <w:sz w:val="24"/>
          <w:szCs w:val="32"/>
          <w:lang w:val="en-US" w:eastAsia="zh-CN"/>
        </w:rPr>
      </w:pPr>
    </w:p>
    <w:p w14:paraId="32441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textAlignment w:val="auto"/>
        <w:rPr>
          <w:rFonts w:hint="eastAsia" w:ascii="新宋体" w:hAnsi="新宋体" w:eastAsia="新宋体" w:cs="新宋体"/>
          <w:sz w:val="24"/>
          <w:szCs w:val="32"/>
          <w:lang w:val="en-US" w:eastAsia="zh-CN"/>
        </w:rPr>
      </w:pPr>
    </w:p>
    <w:p w14:paraId="3FEE73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textAlignment w:val="auto"/>
        <w:rPr>
          <w:rFonts w:hint="eastAsia" w:ascii="新宋体" w:hAnsi="新宋体" w:eastAsia="新宋体" w:cs="新宋体"/>
          <w:sz w:val="24"/>
          <w:szCs w:val="32"/>
          <w:lang w:val="en-US" w:eastAsia="zh-CN"/>
        </w:rPr>
      </w:pPr>
    </w:p>
    <w:p w14:paraId="5AD827D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全球瘦客户机市场出货量第一</w:t>
      </w:r>
    </w:p>
    <w:p w14:paraId="4545653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连续十三年蝉联亚太瘦客户机市场份额第一</w:t>
      </w:r>
    </w:p>
    <w:p w14:paraId="78AB93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leftChars="0" w:firstLine="480" w:firstLineChars="200"/>
        <w:textAlignment w:val="auto"/>
        <w:rPr>
          <w:rFonts w:hint="default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中国瘦客户机市场份额第一</w:t>
      </w:r>
    </w:p>
    <w:p w14:paraId="3D50197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中国数据中心交换机、交换机(企业级)市场占有率均排名第三</w:t>
      </w:r>
    </w:p>
    <w:p w14:paraId="5DD6395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中国200G/400G数据中心交换机市场占有率第一</w:t>
      </w:r>
    </w:p>
    <w:p w14:paraId="5E5A63B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以太网交换机市场占有率在国内互联网、教育、流通行业排名第一</w:t>
      </w:r>
    </w:p>
    <w:p w14:paraId="69BFBF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leftChars="0" w:firstLine="480" w:firstLineChars="2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数据中心交换机在国内互联网、电子制造行业排名第一</w:t>
      </w:r>
    </w:p>
    <w:p w14:paraId="0AF7E6A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left="420" w:leftChars="0" w:hanging="420" w:firstLineChars="0"/>
        <w:textAlignment w:val="auto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中国企业级WLAN产品整体出货量排名第一</w:t>
      </w:r>
    </w:p>
    <w:p w14:paraId="781D49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leftChars="0" w:firstLine="480" w:firstLineChars="200"/>
        <w:textAlignment w:val="auto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WLAN 产品市场占有率在国内教育、通信、服务行业排名第一</w:t>
      </w:r>
    </w:p>
    <w:p w14:paraId="6CBD3413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left="420" w:leftChars="0" w:hanging="420" w:firstLineChars="0"/>
        <w:textAlignment w:val="auto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中国本地计算云终端市场份额排名第二</w:t>
      </w:r>
    </w:p>
    <w:p w14:paraId="17B5E2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88" w:lineRule="auto"/>
        <w:ind w:leftChars="0" w:firstLine="440" w:firstLineChars="200"/>
        <w:textAlignment w:val="auto"/>
        <w:rPr>
          <w:rFonts w:hint="eastAsia" w:ascii="微软雅黑" w:hAnsi="微软雅黑" w:eastAsia="微软雅黑" w:cs="微软雅黑"/>
          <w:color w:val="auto"/>
          <w:sz w:val="22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8"/>
          <w:lang w:val="en-US" w:eastAsia="zh-CN"/>
        </w:rPr>
        <w:t>(注:本地计算云终端市场是指包括IDV/TCI/VOI云终端解决方案市场的合集)</w:t>
      </w:r>
    </w:p>
    <w:p w14:paraId="616A463E">
      <w:pPr>
        <w:spacing w:line="360" w:lineRule="auto"/>
        <w:ind w:firstLine="480" w:firstLineChars="200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11B81AAC">
      <w:pPr>
        <w:ind w:firstLine="640" w:firstLineChars="200"/>
        <w:rPr>
          <w:rFonts w:hint="eastAsia"/>
          <w:sz w:val="32"/>
          <w:szCs w:val="40"/>
          <w:lang w:val="en-US" w:eastAsia="zh-CN"/>
        </w:rPr>
      </w:pPr>
    </w:p>
    <w:p w14:paraId="58BAFF76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2BBD2E7B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63F56C91">
      <w:pPr>
        <w:rPr>
          <w:rFonts w:hint="eastAsia"/>
          <w:b/>
          <w:bCs/>
          <w:sz w:val="24"/>
          <w:szCs w:val="32"/>
          <w:lang w:val="en-US" w:eastAsia="zh-CN"/>
        </w:rPr>
      </w:pPr>
    </w:p>
    <w:p w14:paraId="11D87E63">
      <w:pPr>
        <w:rPr>
          <w:rFonts w:hint="eastAsia" w:ascii="微软雅黑 Light" w:hAnsi="微软雅黑 Light" w:eastAsia="微软雅黑 Light" w:cs="微软雅黑 Light"/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B95D31"/>
    <w:multiLevelType w:val="singleLevel"/>
    <w:tmpl w:val="30B95D3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F0595"/>
    <w:rsid w:val="02997066"/>
    <w:rsid w:val="06EF2B10"/>
    <w:rsid w:val="0A0869CA"/>
    <w:rsid w:val="11A255F7"/>
    <w:rsid w:val="1BBE6BA7"/>
    <w:rsid w:val="21D81E45"/>
    <w:rsid w:val="23643550"/>
    <w:rsid w:val="26054B71"/>
    <w:rsid w:val="28C252B2"/>
    <w:rsid w:val="32E50B31"/>
    <w:rsid w:val="3327120C"/>
    <w:rsid w:val="371A6CA8"/>
    <w:rsid w:val="381A4731"/>
    <w:rsid w:val="39A15A94"/>
    <w:rsid w:val="46BA0587"/>
    <w:rsid w:val="4E4F1B89"/>
    <w:rsid w:val="4E893CA5"/>
    <w:rsid w:val="4F9A69AB"/>
    <w:rsid w:val="54443DF5"/>
    <w:rsid w:val="58FF0595"/>
    <w:rsid w:val="5B033605"/>
    <w:rsid w:val="5DFC4FE8"/>
    <w:rsid w:val="64DA2A43"/>
    <w:rsid w:val="65C90BF6"/>
    <w:rsid w:val="67EA343C"/>
    <w:rsid w:val="741A410D"/>
    <w:rsid w:val="7BF2699E"/>
    <w:rsid w:val="7DA43D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1359</Words>
  <Characters>1456</Characters>
  <Lines>0</Lines>
  <Paragraphs>0</Paragraphs>
  <TotalTime>353</TotalTime>
  <ScaleCrop>false</ScaleCrop>
  <LinksUpToDate>false</LinksUpToDate>
  <CharactersWithSpaces>1459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2025-01-24T04:50:00Z</dcterms:created>
  <dc:creator>CXY</dc:creator>
  <cp:lastModifiedBy>企划部</cp:lastModifiedBy>
  <dcterms:modified xsi:type="dcterms:W3CDTF">2026-03-10T01:50:00Z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8BC8D31ECEAD45C5A41756307129DC94_13</vt:lpwstr>
  </property>
  <property fmtid="{D5CDD505-2E9C-101B-9397-08002B2CF9AE}" pid="4" name="KSOTemplateDocerSaveRecord">
    <vt:lpwstr>eyJoZGlkIjoiNjJmOTYzM2ZlZmNjOTM3YTE3ZDczNjkwN2Q2ZDQyMTQiLCJ1c2VySWQiOiIxNTc0OTE3NDcxIn0=</vt:lpwstr>
  </property>
</Properties>
</file>